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4CC1" w14:textId="77777777" w:rsidR="00AF545B" w:rsidRPr="00077150" w:rsidRDefault="00AF545B" w:rsidP="00AF545B">
      <w:pPr>
        <w:rPr>
          <w:b/>
          <w:u w:val="none"/>
          <w:lang w:val="fr-CA"/>
        </w:rPr>
      </w:pPr>
      <w:r w:rsidRPr="00077150">
        <w:rPr>
          <w:b/>
          <w:u w:val="none"/>
          <w:lang w:val="fr-CA"/>
        </w:rPr>
        <w:t>Les gouvernements du Canada et des États-Unis s’entendent sur la portée et la nature de l’examen de 2024 de l’Accord relatif à la qualité de l’eau dans les Grands Lacs</w:t>
      </w:r>
    </w:p>
    <w:p w14:paraId="79395536" w14:textId="77777777" w:rsidR="00AF545B" w:rsidRPr="00077150" w:rsidRDefault="00AF545B" w:rsidP="00AF545B">
      <w:pPr>
        <w:rPr>
          <w:b/>
          <w:u w:val="none"/>
          <w:lang w:val="fr-CA"/>
        </w:rPr>
      </w:pPr>
    </w:p>
    <w:p w14:paraId="2786F54D" w14:textId="77777777" w:rsidR="00AF545B" w:rsidRPr="00077150" w:rsidRDefault="00AF545B" w:rsidP="00AF545B">
      <w:pPr>
        <w:rPr>
          <w:b/>
          <w:u w:val="none"/>
          <w:lang w:val="fr-CA"/>
        </w:rPr>
      </w:pPr>
      <w:bookmarkStart w:id="0" w:name="_Hlk177022487"/>
      <w:r w:rsidRPr="00077150">
        <w:rPr>
          <w:b/>
          <w:u w:val="none"/>
          <w:lang w:val="fr-CA"/>
        </w:rPr>
        <w:t>Introduction</w:t>
      </w:r>
    </w:p>
    <w:p w14:paraId="6B6DE142" w14:textId="77777777" w:rsidR="00AF545B" w:rsidRPr="00077150" w:rsidRDefault="00AF545B" w:rsidP="00AF545B">
      <w:pPr>
        <w:rPr>
          <w:b/>
          <w:u w:val="none"/>
          <w:lang w:val="fr-CA"/>
        </w:rPr>
      </w:pPr>
    </w:p>
    <w:p w14:paraId="7F7D4809" w14:textId="2E96290D" w:rsidR="00AF545B" w:rsidRPr="00077150" w:rsidRDefault="00AF545B" w:rsidP="00AF545B">
      <w:pPr>
        <w:rPr>
          <w:u w:val="none"/>
          <w:lang w:val="fr-CA"/>
        </w:rPr>
      </w:pPr>
      <w:r w:rsidRPr="00077150">
        <w:rPr>
          <w:u w:val="none"/>
          <w:lang w:val="fr-CA"/>
        </w:rPr>
        <w:t xml:space="preserve">En vertu de l’Accord </w:t>
      </w:r>
      <w:r w:rsidR="00D74870">
        <w:rPr>
          <w:u w:val="none"/>
          <w:lang w:val="fr-CA"/>
        </w:rPr>
        <w:t>Canada–États-Unis</w:t>
      </w:r>
      <w:r w:rsidRPr="00077150">
        <w:rPr>
          <w:u w:val="none"/>
          <w:lang w:val="fr-CA"/>
        </w:rPr>
        <w:t xml:space="preserve"> relatif à la qualité de l’eau dans les Grands Lacs de 2012, « les </w:t>
      </w:r>
      <w:r w:rsidR="00B03A83" w:rsidRPr="00077150">
        <w:rPr>
          <w:u w:val="none"/>
          <w:lang w:val="fr-CA"/>
        </w:rPr>
        <w:t>P</w:t>
      </w:r>
      <w:r w:rsidRPr="00077150">
        <w:rPr>
          <w:u w:val="none"/>
          <w:lang w:val="fr-CA"/>
        </w:rPr>
        <w:t>arties à l’Accord » – les gouvernements des États-Unis et du Canada – doivent effectuer un examen du fonctionnement et de l’efficacité de l’Accord tous les neuf ans. L</w:t>
      </w:r>
      <w:r w:rsidR="00077150" w:rsidRPr="00077150">
        <w:rPr>
          <w:u w:val="none"/>
          <w:lang w:val="fr-CA"/>
        </w:rPr>
        <w:t xml:space="preserve">es </w:t>
      </w:r>
      <w:r w:rsidR="00D74870">
        <w:rPr>
          <w:u w:val="none"/>
          <w:lang w:val="fr-CA"/>
        </w:rPr>
        <w:t>Parties</w:t>
      </w:r>
      <w:r w:rsidR="00077150" w:rsidRPr="00077150">
        <w:rPr>
          <w:u w:val="none"/>
          <w:lang w:val="fr-CA"/>
        </w:rPr>
        <w:t xml:space="preserve"> doivent déterminer l</w:t>
      </w:r>
      <w:r w:rsidRPr="00077150">
        <w:rPr>
          <w:u w:val="none"/>
          <w:lang w:val="fr-CA"/>
        </w:rPr>
        <w:t>a portée et la nature de l’examen :</w:t>
      </w:r>
    </w:p>
    <w:p w14:paraId="044182E6" w14:textId="77777777" w:rsidR="00AF545B" w:rsidRPr="00077150" w:rsidRDefault="00AF545B" w:rsidP="00AF545B">
      <w:pPr>
        <w:rPr>
          <w:u w:val="none"/>
          <w:lang w:val="fr-CA"/>
        </w:rPr>
      </w:pPr>
    </w:p>
    <w:p w14:paraId="60476E52" w14:textId="63B2B434" w:rsidR="00AF545B" w:rsidRPr="00077150" w:rsidRDefault="00AF545B" w:rsidP="00AF545B">
      <w:pPr>
        <w:rPr>
          <w:u w:val="none"/>
          <w:lang w:val="fr-CA"/>
        </w:rPr>
      </w:pPr>
      <w:r w:rsidRPr="00077150">
        <w:rPr>
          <w:i/>
          <w:iCs/>
          <w:u w:val="none"/>
          <w:lang w:val="fr-CA"/>
        </w:rPr>
        <w:t>« </w:t>
      </w:r>
      <w:r w:rsidR="00ED087A" w:rsidRPr="00077150">
        <w:rPr>
          <w:i/>
          <w:iCs/>
          <w:u w:val="none"/>
          <w:lang w:val="fr-CA"/>
        </w:rPr>
        <w:t>Après chaque troisième Rapport d’évaluation des progrès triennal de la Commission, les Parties procèdent à un examen du fonctionnement et de l’efficacité du présent accord. Les Parties déterminent la portée et la nature de l’examen en tenant compte des opinions des gouvernements des États et de la province, des gouvernements tribaux, des Premières nations, des Métis, des gouvernements municipaux, des Premières nations, des Métis, des organismes de gestion des bassins versants, des autres organismes publics locaux, des administrations en aval et du grand public.</w:t>
      </w:r>
      <w:r w:rsidRPr="00077150">
        <w:rPr>
          <w:u w:val="none"/>
          <w:lang w:val="fr-CA"/>
        </w:rPr>
        <w:t> » (Article</w:t>
      </w:r>
      <w:r w:rsidR="00D74870">
        <w:rPr>
          <w:u w:val="none"/>
          <w:lang w:val="fr-CA"/>
        </w:rPr>
        <w:t> </w:t>
      </w:r>
      <w:r w:rsidRPr="00077150">
        <w:rPr>
          <w:u w:val="none"/>
          <w:lang w:val="fr-CA"/>
        </w:rPr>
        <w:t>5, section</w:t>
      </w:r>
      <w:r w:rsidR="00D74870">
        <w:rPr>
          <w:u w:val="none"/>
          <w:lang w:val="fr-CA"/>
        </w:rPr>
        <w:t> </w:t>
      </w:r>
      <w:r w:rsidRPr="00077150">
        <w:rPr>
          <w:u w:val="none"/>
          <w:lang w:val="fr-CA"/>
        </w:rPr>
        <w:t>5)</w:t>
      </w:r>
    </w:p>
    <w:bookmarkEnd w:id="0"/>
    <w:p w14:paraId="2F60258B" w14:textId="77777777" w:rsidR="00AF545B" w:rsidRPr="00077150" w:rsidRDefault="00AF545B" w:rsidP="00AF545B">
      <w:pPr>
        <w:rPr>
          <w:b/>
          <w:u w:val="none"/>
          <w:lang w:val="fr-CA"/>
        </w:rPr>
      </w:pPr>
    </w:p>
    <w:p w14:paraId="168D129A" w14:textId="77777777" w:rsidR="00AF545B" w:rsidRPr="00077150" w:rsidRDefault="00AF545B" w:rsidP="00AF545B">
      <w:pPr>
        <w:rPr>
          <w:b/>
          <w:u w:val="none"/>
          <w:lang w:val="fr-CA"/>
        </w:rPr>
      </w:pPr>
      <w:r w:rsidRPr="00077150">
        <w:rPr>
          <w:b/>
          <w:u w:val="none"/>
          <w:lang w:val="fr-CA"/>
        </w:rPr>
        <w:t>Sources des intrants prises en compte par les parties</w:t>
      </w:r>
    </w:p>
    <w:p w14:paraId="3D0F4DE6" w14:textId="77777777" w:rsidR="00AF545B" w:rsidRPr="00077150" w:rsidRDefault="00AF545B" w:rsidP="00AF545B">
      <w:pPr>
        <w:rPr>
          <w:u w:val="none"/>
          <w:lang w:val="fr-CA"/>
        </w:rPr>
      </w:pPr>
    </w:p>
    <w:p w14:paraId="0F2C53FD" w14:textId="715B8BAC" w:rsidR="00AF545B" w:rsidRPr="00077150" w:rsidRDefault="00AF545B" w:rsidP="00AF545B">
      <w:pPr>
        <w:rPr>
          <w:u w:val="none"/>
          <w:lang w:val="fr-CA"/>
        </w:rPr>
      </w:pPr>
      <w:r w:rsidRPr="00077150">
        <w:rPr>
          <w:u w:val="none"/>
          <w:lang w:val="fr-CA"/>
        </w:rPr>
        <w:t xml:space="preserve">Pour déterminer la portée et la nature de l’examen, les </w:t>
      </w:r>
      <w:r w:rsidR="00077150" w:rsidRPr="00077150">
        <w:rPr>
          <w:u w:val="none"/>
          <w:lang w:val="fr-CA"/>
        </w:rPr>
        <w:t>P</w:t>
      </w:r>
      <w:r w:rsidRPr="00077150">
        <w:rPr>
          <w:u w:val="none"/>
          <w:lang w:val="fr-CA"/>
        </w:rPr>
        <w:t>arties ont tenu compte des commentaires reçus par divers mécanismes, notamment :</w:t>
      </w:r>
    </w:p>
    <w:p w14:paraId="329EC5D0" w14:textId="1A515860" w:rsidR="00AF545B" w:rsidRPr="00077150" w:rsidRDefault="00077150" w:rsidP="00AF545B">
      <w:pPr>
        <w:numPr>
          <w:ilvl w:val="0"/>
          <w:numId w:val="1"/>
        </w:numPr>
        <w:rPr>
          <w:u w:val="none"/>
          <w:lang w:val="fr-CA"/>
        </w:rPr>
      </w:pPr>
      <w:r w:rsidRPr="00077150">
        <w:rPr>
          <w:u w:val="none"/>
          <w:lang w:val="fr-CA"/>
        </w:rPr>
        <w:t>les</w:t>
      </w:r>
      <w:r w:rsidR="00AF545B" w:rsidRPr="00077150">
        <w:rPr>
          <w:u w:val="none"/>
          <w:lang w:val="fr-CA"/>
        </w:rPr>
        <w:t xml:space="preserve"> nombreuses réunions et activités publiques </w:t>
      </w:r>
      <w:r w:rsidRPr="00077150">
        <w:rPr>
          <w:u w:val="none"/>
          <w:lang w:val="fr-CA"/>
        </w:rPr>
        <w:t xml:space="preserve">qui </w:t>
      </w:r>
      <w:r w:rsidR="00AF545B" w:rsidRPr="00077150">
        <w:rPr>
          <w:u w:val="none"/>
          <w:lang w:val="fr-CA"/>
        </w:rPr>
        <w:t xml:space="preserve">ont eu lieu </w:t>
      </w:r>
      <w:r w:rsidRPr="00077150">
        <w:rPr>
          <w:u w:val="none"/>
          <w:lang w:val="fr-CA"/>
        </w:rPr>
        <w:t>a</w:t>
      </w:r>
      <w:r w:rsidRPr="00077150">
        <w:rPr>
          <w:u w:val="none"/>
          <w:lang w:val="fr-CA"/>
        </w:rPr>
        <w:t>u cours des dernières années</w:t>
      </w:r>
      <w:r w:rsidRPr="00077150">
        <w:rPr>
          <w:u w:val="none"/>
          <w:lang w:val="fr-CA"/>
        </w:rPr>
        <w:t xml:space="preserve"> </w:t>
      </w:r>
      <w:r w:rsidR="00AF545B" w:rsidRPr="00077150">
        <w:rPr>
          <w:u w:val="none"/>
          <w:lang w:val="fr-CA"/>
        </w:rPr>
        <w:t>dans l’ensemble du bassin des Grands Lacs</w:t>
      </w:r>
      <w:r w:rsidRPr="00077150">
        <w:rPr>
          <w:u w:val="none"/>
          <w:lang w:val="fr-CA"/>
        </w:rPr>
        <w:t>;</w:t>
      </w:r>
    </w:p>
    <w:p w14:paraId="1017792F" w14:textId="64E7FF2C" w:rsidR="00AF545B" w:rsidRPr="00077150" w:rsidRDefault="00077150" w:rsidP="00AF545B">
      <w:pPr>
        <w:numPr>
          <w:ilvl w:val="0"/>
          <w:numId w:val="1"/>
        </w:numPr>
        <w:rPr>
          <w:u w:val="none"/>
          <w:lang w:val="fr-CA"/>
        </w:rPr>
      </w:pPr>
      <w:r>
        <w:rPr>
          <w:u w:val="none"/>
          <w:lang w:val="fr-CA"/>
        </w:rPr>
        <w:t>les ré</w:t>
      </w:r>
      <w:r w:rsidR="00AF545B" w:rsidRPr="00077150">
        <w:rPr>
          <w:u w:val="none"/>
          <w:lang w:val="fr-CA"/>
        </w:rPr>
        <w:t xml:space="preserve">unions publiques officielles </w:t>
      </w:r>
      <w:r>
        <w:rPr>
          <w:u w:val="none"/>
          <w:lang w:val="fr-CA"/>
        </w:rPr>
        <w:t>selon</w:t>
      </w:r>
      <w:r w:rsidR="00AF545B" w:rsidRPr="00077150">
        <w:rPr>
          <w:u w:val="none"/>
          <w:lang w:val="fr-CA"/>
        </w:rPr>
        <w:t xml:space="preserve"> l’Accord, y compris les forums publics sur les Grands Lacs tenus à Toronto (2016), à Milwaukee (2019) et à Niagara </w:t>
      </w:r>
      <w:proofErr w:type="spellStart"/>
      <w:r w:rsidR="00AF545B" w:rsidRPr="00077150">
        <w:rPr>
          <w:u w:val="none"/>
          <w:lang w:val="fr-CA"/>
        </w:rPr>
        <w:t>Falls</w:t>
      </w:r>
      <w:proofErr w:type="spellEnd"/>
      <w:r>
        <w:rPr>
          <w:u w:val="none"/>
          <w:lang w:val="fr-CA"/>
        </w:rPr>
        <w:t xml:space="preserve">, en Ontario </w:t>
      </w:r>
      <w:r w:rsidR="00AF545B" w:rsidRPr="00077150">
        <w:rPr>
          <w:u w:val="none"/>
          <w:lang w:val="fr-CA"/>
        </w:rPr>
        <w:t>(2022)</w:t>
      </w:r>
      <w:r>
        <w:rPr>
          <w:u w:val="none"/>
          <w:lang w:val="fr-CA"/>
        </w:rPr>
        <w:t>;</w:t>
      </w:r>
    </w:p>
    <w:p w14:paraId="6F90B186" w14:textId="3F1BBB9C" w:rsidR="00AF545B" w:rsidRPr="00077150" w:rsidRDefault="00077150" w:rsidP="00AF545B">
      <w:pPr>
        <w:numPr>
          <w:ilvl w:val="0"/>
          <w:numId w:val="1"/>
        </w:numPr>
        <w:rPr>
          <w:u w:val="none"/>
          <w:lang w:val="fr-CA"/>
        </w:rPr>
      </w:pPr>
      <w:r>
        <w:rPr>
          <w:u w:val="none"/>
          <w:lang w:val="fr-CA"/>
        </w:rPr>
        <w:t>l</w:t>
      </w:r>
      <w:r w:rsidR="00AF545B" w:rsidRPr="00077150">
        <w:rPr>
          <w:u w:val="none"/>
          <w:lang w:val="fr-CA"/>
        </w:rPr>
        <w:t xml:space="preserve">es commentaires reçus de la Commission mixte internationale (CMI) dans le cadre de ses rapports triennaux d’évaluation des progrès publiés en novembre 2017, </w:t>
      </w:r>
      <w:r>
        <w:rPr>
          <w:u w:val="none"/>
          <w:lang w:val="fr-CA"/>
        </w:rPr>
        <w:t xml:space="preserve">en </w:t>
      </w:r>
      <w:r w:rsidR="00AF545B" w:rsidRPr="00077150">
        <w:rPr>
          <w:u w:val="none"/>
          <w:lang w:val="fr-CA"/>
        </w:rPr>
        <w:t xml:space="preserve">décembre 2020 et </w:t>
      </w:r>
      <w:r>
        <w:rPr>
          <w:u w:val="none"/>
          <w:lang w:val="fr-CA"/>
        </w:rPr>
        <w:t xml:space="preserve">en </w:t>
      </w:r>
      <w:r w:rsidR="00AF545B" w:rsidRPr="00077150">
        <w:rPr>
          <w:u w:val="none"/>
          <w:lang w:val="fr-CA"/>
        </w:rPr>
        <w:t>novembre 2023, qui comprennent les points de vue de la CMI ainsi que les commentaires du public recueillis par la Commission.</w:t>
      </w:r>
    </w:p>
    <w:p w14:paraId="1CF75D64" w14:textId="77777777" w:rsidR="00AF545B" w:rsidRPr="00077150" w:rsidRDefault="00AF545B" w:rsidP="00AF545B">
      <w:pPr>
        <w:rPr>
          <w:u w:val="none"/>
          <w:lang w:val="fr-CA"/>
        </w:rPr>
      </w:pPr>
    </w:p>
    <w:p w14:paraId="58C6749B" w14:textId="75CD0ABC" w:rsidR="00AF545B" w:rsidRPr="00077150" w:rsidRDefault="00AF545B" w:rsidP="00AF545B">
      <w:pPr>
        <w:rPr>
          <w:u w:val="none"/>
          <w:lang w:val="fr-CA"/>
        </w:rPr>
      </w:pPr>
      <w:r w:rsidRPr="00077150">
        <w:rPr>
          <w:u w:val="none"/>
          <w:lang w:val="fr-CA"/>
        </w:rPr>
        <w:t xml:space="preserve">Afin de fournir une occasion supplémentaire de formuler des commentaires, les </w:t>
      </w:r>
      <w:r w:rsidR="00077150">
        <w:rPr>
          <w:u w:val="none"/>
          <w:lang w:val="fr-CA"/>
        </w:rPr>
        <w:t>P</w:t>
      </w:r>
      <w:r w:rsidRPr="00077150">
        <w:rPr>
          <w:u w:val="none"/>
          <w:lang w:val="fr-CA"/>
        </w:rPr>
        <w:t xml:space="preserve">arties ont annoncé </w:t>
      </w:r>
      <w:r w:rsidR="00077150" w:rsidRPr="00077150">
        <w:rPr>
          <w:u w:val="none"/>
          <w:lang w:val="fr-CA"/>
        </w:rPr>
        <w:t>le 30 mai 2024</w:t>
      </w:r>
      <w:r w:rsidR="00077150">
        <w:rPr>
          <w:u w:val="none"/>
          <w:lang w:val="fr-CA"/>
        </w:rPr>
        <w:t xml:space="preserve"> </w:t>
      </w:r>
      <w:r w:rsidRPr="00077150">
        <w:rPr>
          <w:u w:val="none"/>
          <w:lang w:val="fr-CA"/>
        </w:rPr>
        <w:t xml:space="preserve">leur intention de déterminer la portée et la nature de l’examen de l’Accord </w:t>
      </w:r>
      <w:r w:rsidR="00D74870">
        <w:rPr>
          <w:u w:val="none"/>
          <w:lang w:val="fr-CA"/>
        </w:rPr>
        <w:t>Canada–États</w:t>
      </w:r>
      <w:r w:rsidR="00D74870">
        <w:rPr>
          <w:u w:val="none"/>
          <w:lang w:val="fr-CA"/>
        </w:rPr>
        <w:noBreakHyphen/>
        <w:t>Unis</w:t>
      </w:r>
      <w:r w:rsidRPr="00077150">
        <w:rPr>
          <w:u w:val="none"/>
          <w:lang w:val="fr-CA"/>
        </w:rPr>
        <w:t xml:space="preserve"> </w:t>
      </w:r>
      <w:r w:rsidR="00077150">
        <w:rPr>
          <w:u w:val="none"/>
          <w:lang w:val="fr-CA"/>
        </w:rPr>
        <w:t>relative à</w:t>
      </w:r>
      <w:r w:rsidRPr="00077150">
        <w:rPr>
          <w:u w:val="none"/>
          <w:lang w:val="fr-CA"/>
        </w:rPr>
        <w:t xml:space="preserve"> la qualité de l’eau dans les Grands Lacs de 2012 et ont demandé aux organisations </w:t>
      </w:r>
      <w:r w:rsidR="00077150">
        <w:rPr>
          <w:u w:val="none"/>
          <w:lang w:val="fr-CA"/>
        </w:rPr>
        <w:t xml:space="preserve">non </w:t>
      </w:r>
      <w:r w:rsidRPr="00077150">
        <w:rPr>
          <w:u w:val="none"/>
          <w:lang w:val="fr-CA"/>
        </w:rPr>
        <w:t xml:space="preserve">gouvernementales et </w:t>
      </w:r>
      <w:r w:rsidR="00077150">
        <w:rPr>
          <w:u w:val="none"/>
          <w:lang w:val="fr-CA"/>
        </w:rPr>
        <w:t>au</w:t>
      </w:r>
      <w:r w:rsidRPr="00077150">
        <w:rPr>
          <w:u w:val="none"/>
          <w:lang w:val="fr-CA"/>
        </w:rPr>
        <w:t xml:space="preserve"> public </w:t>
      </w:r>
      <w:r w:rsidR="00077150">
        <w:rPr>
          <w:u w:val="none"/>
          <w:lang w:val="fr-CA"/>
        </w:rPr>
        <w:t xml:space="preserve">de leur présenter </w:t>
      </w:r>
      <w:r w:rsidR="00077150" w:rsidRPr="00077150">
        <w:rPr>
          <w:u w:val="none"/>
          <w:lang w:val="fr-CA"/>
        </w:rPr>
        <w:t xml:space="preserve">des commentaires </w:t>
      </w:r>
      <w:r w:rsidR="00077150">
        <w:rPr>
          <w:u w:val="none"/>
          <w:lang w:val="fr-CA"/>
        </w:rPr>
        <w:t>au plus tard</w:t>
      </w:r>
      <w:r w:rsidRPr="00077150">
        <w:rPr>
          <w:u w:val="none"/>
          <w:lang w:val="fr-CA"/>
        </w:rPr>
        <w:t xml:space="preserve"> le 12 juillet 2024. </w:t>
      </w:r>
    </w:p>
    <w:p w14:paraId="50744FC0" w14:textId="77777777" w:rsidR="00AF545B" w:rsidRPr="00077150" w:rsidRDefault="00AF545B" w:rsidP="00AF545B">
      <w:pPr>
        <w:rPr>
          <w:u w:val="none"/>
          <w:lang w:val="fr-CA"/>
        </w:rPr>
      </w:pPr>
    </w:p>
    <w:p w14:paraId="192452BE" w14:textId="072D7D56" w:rsidR="00AF545B" w:rsidRPr="00077150" w:rsidRDefault="007A10D2" w:rsidP="00AF545B">
      <w:pPr>
        <w:rPr>
          <w:u w:val="none"/>
          <w:lang w:val="fr-CA"/>
        </w:rPr>
      </w:pPr>
      <w:r>
        <w:rPr>
          <w:u w:val="none"/>
          <w:lang w:val="fr-CA"/>
        </w:rPr>
        <w:t xml:space="preserve">En parallèle, </w:t>
      </w:r>
      <w:r w:rsidR="00AF545B" w:rsidRPr="00077150">
        <w:rPr>
          <w:u w:val="none"/>
          <w:lang w:val="fr-CA"/>
        </w:rPr>
        <w:t xml:space="preserve">l’examen a fait l’objet de discussions avec les organismes de protection de l’environnement et de gestion des ressources naturelles des Grands Lacs qui mettent en œuvre des programmes et contribuent à la gestion de la qualité de l’eau dans le bassin des Grands Lacs </w:t>
      </w:r>
      <w:r>
        <w:rPr>
          <w:u w:val="none"/>
          <w:lang w:val="fr-CA"/>
        </w:rPr>
        <w:t>à la réunion du</w:t>
      </w:r>
      <w:r w:rsidR="00AF545B" w:rsidRPr="00077150">
        <w:rPr>
          <w:u w:val="none"/>
          <w:lang w:val="fr-CA"/>
        </w:rPr>
        <w:t xml:space="preserve"> Comité exécutif des Grands Lacs (CEGL)</w:t>
      </w:r>
      <w:r>
        <w:rPr>
          <w:u w:val="none"/>
          <w:lang w:val="fr-CA"/>
        </w:rPr>
        <w:t xml:space="preserve"> qui s’est tenue </w:t>
      </w:r>
      <w:r>
        <w:rPr>
          <w:u w:val="none"/>
          <w:lang w:val="fr-CA"/>
        </w:rPr>
        <w:t>les</w:t>
      </w:r>
      <w:r w:rsidRPr="00077150">
        <w:rPr>
          <w:u w:val="none"/>
          <w:lang w:val="fr-CA"/>
        </w:rPr>
        <w:t xml:space="preserve"> 25 </w:t>
      </w:r>
      <w:r>
        <w:rPr>
          <w:u w:val="none"/>
          <w:lang w:val="fr-CA"/>
        </w:rPr>
        <w:t xml:space="preserve">et </w:t>
      </w:r>
      <w:r w:rsidRPr="00077150">
        <w:rPr>
          <w:u w:val="none"/>
          <w:lang w:val="fr-CA"/>
        </w:rPr>
        <w:t>26 juin 2024</w:t>
      </w:r>
      <w:r w:rsidR="00AF545B" w:rsidRPr="00077150">
        <w:rPr>
          <w:u w:val="none"/>
          <w:lang w:val="fr-CA"/>
        </w:rPr>
        <w:t>. (Le CEGL est composé de représentants des gouvernements fédéra</w:t>
      </w:r>
      <w:r>
        <w:rPr>
          <w:u w:val="none"/>
          <w:lang w:val="fr-CA"/>
        </w:rPr>
        <w:t>ux</w:t>
      </w:r>
      <w:r w:rsidR="00AF545B" w:rsidRPr="00077150">
        <w:rPr>
          <w:u w:val="none"/>
          <w:lang w:val="fr-CA"/>
        </w:rPr>
        <w:t xml:space="preserve">, étatiques et provinciaux, des gouvernements tribaux, des Premières </w:t>
      </w:r>
      <w:r>
        <w:rPr>
          <w:u w:val="none"/>
          <w:lang w:val="fr-CA"/>
        </w:rPr>
        <w:t>N</w:t>
      </w:r>
      <w:r w:rsidR="00AF545B" w:rsidRPr="00077150">
        <w:rPr>
          <w:u w:val="none"/>
          <w:lang w:val="fr-CA"/>
        </w:rPr>
        <w:t xml:space="preserve">ations, des Métis, des administrations municipales, des organismes de gestion des bassins versants et d’autres organismes publics locaux, </w:t>
      </w:r>
      <w:r w:rsidR="00D74870">
        <w:rPr>
          <w:u w:val="none"/>
          <w:lang w:val="fr-CA"/>
        </w:rPr>
        <w:t>comme</w:t>
      </w:r>
      <w:r w:rsidR="00AF545B" w:rsidRPr="00077150">
        <w:rPr>
          <w:u w:val="none"/>
          <w:lang w:val="fr-CA"/>
        </w:rPr>
        <w:t xml:space="preserve"> définis à l’article</w:t>
      </w:r>
      <w:r>
        <w:rPr>
          <w:u w:val="none"/>
          <w:lang w:val="fr-CA"/>
        </w:rPr>
        <w:t> </w:t>
      </w:r>
      <w:r w:rsidR="00AF545B" w:rsidRPr="00077150">
        <w:rPr>
          <w:u w:val="none"/>
          <w:lang w:val="fr-CA"/>
        </w:rPr>
        <w:t>5, section</w:t>
      </w:r>
      <w:r>
        <w:rPr>
          <w:u w:val="none"/>
          <w:lang w:val="fr-CA"/>
        </w:rPr>
        <w:t> </w:t>
      </w:r>
      <w:r w:rsidR="00AF545B" w:rsidRPr="00077150">
        <w:rPr>
          <w:u w:val="none"/>
          <w:lang w:val="fr-CA"/>
        </w:rPr>
        <w:t>2a.) Après cette réunion, les membres du CEGL ont eu l’occasion de fo</w:t>
      </w:r>
      <w:r>
        <w:rPr>
          <w:u w:val="none"/>
          <w:lang w:val="fr-CA"/>
        </w:rPr>
        <w:t xml:space="preserve">rmuler </w:t>
      </w:r>
      <w:r w:rsidR="00AF545B" w:rsidRPr="00077150">
        <w:rPr>
          <w:u w:val="none"/>
          <w:lang w:val="fr-CA"/>
        </w:rPr>
        <w:t xml:space="preserve">des commentaires supplémentaires </w:t>
      </w:r>
      <w:r>
        <w:rPr>
          <w:u w:val="none"/>
          <w:lang w:val="fr-CA"/>
        </w:rPr>
        <w:t xml:space="preserve">au plus tard </w:t>
      </w:r>
      <w:r w:rsidR="00AF545B" w:rsidRPr="00077150">
        <w:rPr>
          <w:u w:val="none"/>
          <w:lang w:val="fr-CA"/>
        </w:rPr>
        <w:t>le 29 juillet 2024. Les Parties poursuivront d’autres discussions nationales avec des partenaires clés de la mise en œuvre.</w:t>
      </w:r>
    </w:p>
    <w:p w14:paraId="2186FC45" w14:textId="77777777" w:rsidR="00AF545B" w:rsidRPr="00077150" w:rsidRDefault="00AF545B" w:rsidP="00AF545B">
      <w:pPr>
        <w:rPr>
          <w:u w:val="none"/>
          <w:lang w:val="fr-CA"/>
        </w:rPr>
      </w:pPr>
    </w:p>
    <w:p w14:paraId="5B11D49C" w14:textId="2A57CC10" w:rsidR="00AF545B" w:rsidRPr="00077150" w:rsidRDefault="00AF545B" w:rsidP="007A10D2">
      <w:pPr>
        <w:keepNext/>
        <w:keepLines/>
        <w:rPr>
          <w:b/>
          <w:u w:val="none"/>
          <w:lang w:val="fr-CA"/>
        </w:rPr>
      </w:pPr>
      <w:r w:rsidRPr="00077150">
        <w:rPr>
          <w:b/>
          <w:u w:val="none"/>
          <w:lang w:val="fr-CA"/>
        </w:rPr>
        <w:lastRenderedPageBreak/>
        <w:t xml:space="preserve">Détermination de la portée et de la nature de l’examen par les </w:t>
      </w:r>
      <w:r w:rsidR="007A10D2">
        <w:rPr>
          <w:b/>
          <w:u w:val="none"/>
          <w:lang w:val="fr-CA"/>
        </w:rPr>
        <w:t>P</w:t>
      </w:r>
      <w:r w:rsidRPr="00077150">
        <w:rPr>
          <w:b/>
          <w:u w:val="none"/>
          <w:lang w:val="fr-CA"/>
        </w:rPr>
        <w:t>arties</w:t>
      </w:r>
    </w:p>
    <w:p w14:paraId="5616494D" w14:textId="77777777" w:rsidR="00AF545B" w:rsidRPr="00077150" w:rsidRDefault="00AF545B" w:rsidP="007A10D2">
      <w:pPr>
        <w:keepNext/>
        <w:keepLines/>
        <w:rPr>
          <w:u w:val="none"/>
          <w:lang w:val="fr-CA"/>
        </w:rPr>
      </w:pPr>
    </w:p>
    <w:p w14:paraId="3006E6A4" w14:textId="194FCA3E" w:rsidR="00AF545B" w:rsidRPr="00077150" w:rsidRDefault="00AF545B" w:rsidP="007A10D2">
      <w:pPr>
        <w:keepNext/>
        <w:keepLines/>
        <w:rPr>
          <w:u w:val="none"/>
          <w:lang w:val="fr-CA"/>
        </w:rPr>
      </w:pPr>
      <w:r w:rsidRPr="00077150">
        <w:rPr>
          <w:u w:val="none"/>
          <w:lang w:val="fr-CA"/>
        </w:rPr>
        <w:t>Après avoir</w:t>
      </w:r>
      <w:bookmarkStart w:id="1" w:name="_Hlk177022542"/>
      <w:r w:rsidRPr="00077150">
        <w:rPr>
          <w:u w:val="none"/>
          <w:lang w:val="fr-CA"/>
        </w:rPr>
        <w:t xml:space="preserve"> tenu compte des commentaires reçus au cours des neuf dernières années, y compris les plus récents commentaires, les gouvernements américain et canadien ont déterminé que cet examen </w:t>
      </w:r>
      <w:r w:rsidR="007A10D2">
        <w:rPr>
          <w:u w:val="none"/>
          <w:lang w:val="fr-CA"/>
        </w:rPr>
        <w:t>port</w:t>
      </w:r>
      <w:r w:rsidRPr="00077150">
        <w:rPr>
          <w:u w:val="none"/>
          <w:lang w:val="fr-CA"/>
        </w:rPr>
        <w:t xml:space="preserve">era </w:t>
      </w:r>
      <w:r w:rsidR="007A10D2">
        <w:rPr>
          <w:u w:val="none"/>
          <w:lang w:val="fr-CA"/>
        </w:rPr>
        <w:t xml:space="preserve">sur </w:t>
      </w:r>
      <w:r w:rsidRPr="00077150">
        <w:rPr>
          <w:u w:val="none"/>
          <w:lang w:val="fr-CA"/>
        </w:rPr>
        <w:t xml:space="preserve">les améliorations apportées au fonctionnement et à l’efficacité des </w:t>
      </w:r>
      <w:r w:rsidR="007A10D2">
        <w:rPr>
          <w:u w:val="none"/>
          <w:lang w:val="fr-CA"/>
        </w:rPr>
        <w:t xml:space="preserve">engagements pris aux </w:t>
      </w:r>
      <w:r w:rsidRPr="00077150">
        <w:rPr>
          <w:u w:val="none"/>
          <w:lang w:val="fr-CA"/>
        </w:rPr>
        <w:t xml:space="preserve">annexes et </w:t>
      </w:r>
      <w:r w:rsidR="007A10D2">
        <w:rPr>
          <w:u w:val="none"/>
          <w:lang w:val="fr-CA"/>
        </w:rPr>
        <w:t>aux</w:t>
      </w:r>
      <w:r w:rsidRPr="00077150">
        <w:rPr>
          <w:u w:val="none"/>
          <w:lang w:val="fr-CA"/>
        </w:rPr>
        <w:t xml:space="preserve"> principaux article</w:t>
      </w:r>
      <w:r w:rsidR="007A10D2">
        <w:rPr>
          <w:u w:val="none"/>
          <w:lang w:val="fr-CA"/>
        </w:rPr>
        <w:t>s</w:t>
      </w:r>
      <w:r w:rsidRPr="00077150">
        <w:rPr>
          <w:u w:val="none"/>
          <w:lang w:val="fr-CA"/>
        </w:rPr>
        <w:t xml:space="preserve"> en les examinant sous l’angle des priorités binationales triennales </w:t>
      </w:r>
      <w:r w:rsidR="007A10D2">
        <w:rPr>
          <w:u w:val="none"/>
          <w:lang w:val="fr-CA"/>
        </w:rPr>
        <w:t xml:space="preserve">quant aux activités scientifiques et aux actions </w:t>
      </w:r>
      <w:r w:rsidRPr="00077150">
        <w:rPr>
          <w:u w:val="none"/>
          <w:lang w:val="fr-CA"/>
        </w:rPr>
        <w:t>(</w:t>
      </w:r>
      <w:r w:rsidR="007A10D2">
        <w:rPr>
          <w:u w:val="none"/>
          <w:lang w:val="fr-CA"/>
        </w:rPr>
        <w:t>PBSA</w:t>
      </w:r>
      <w:r w:rsidRPr="00077150">
        <w:rPr>
          <w:u w:val="none"/>
          <w:lang w:val="fr-CA"/>
        </w:rPr>
        <w:t xml:space="preserve">). </w:t>
      </w:r>
    </w:p>
    <w:bookmarkEnd w:id="1"/>
    <w:p w14:paraId="13CAE8FD" w14:textId="77777777" w:rsidR="00AF545B" w:rsidRPr="00077150" w:rsidRDefault="00AF545B" w:rsidP="00AF545B">
      <w:pPr>
        <w:rPr>
          <w:u w:val="none"/>
          <w:lang w:val="fr-CA"/>
        </w:rPr>
      </w:pPr>
    </w:p>
    <w:p w14:paraId="6A58E95B" w14:textId="3DB784FC" w:rsidR="00AF545B" w:rsidRPr="00077150" w:rsidRDefault="00AF545B" w:rsidP="00AF545B">
      <w:pPr>
        <w:rPr>
          <w:i/>
          <w:iCs/>
          <w:u w:val="none"/>
          <w:lang w:val="fr-CA"/>
        </w:rPr>
      </w:pPr>
      <w:r w:rsidRPr="00077150">
        <w:rPr>
          <w:i/>
          <w:iCs/>
          <w:u w:val="none"/>
          <w:lang w:val="fr-CA"/>
        </w:rPr>
        <w:t>« </w:t>
      </w:r>
      <w:r w:rsidR="00B03A83" w:rsidRPr="00077150">
        <w:rPr>
          <w:i/>
          <w:iCs/>
          <w:u w:val="none"/>
          <w:lang w:val="fr-CA"/>
        </w:rPr>
        <w:t>P</w:t>
      </w:r>
      <w:r w:rsidR="00B03A83" w:rsidRPr="00077150">
        <w:rPr>
          <w:i/>
          <w:iCs/>
          <w:u w:val="none"/>
          <w:lang w:val="fr-CA"/>
        </w:rPr>
        <w:t>riorités binationales quant aux activités scientifiques et aux actions</w:t>
      </w:r>
      <w:r w:rsidRPr="00077150">
        <w:rPr>
          <w:i/>
          <w:iCs/>
          <w:u w:val="none"/>
          <w:lang w:val="fr-CA"/>
        </w:rPr>
        <w:t>» (</w:t>
      </w:r>
      <w:r w:rsidR="00B03A83" w:rsidRPr="00077150">
        <w:rPr>
          <w:i/>
          <w:iCs/>
          <w:u w:val="none"/>
          <w:lang w:val="fr-CA"/>
        </w:rPr>
        <w:t>P</w:t>
      </w:r>
      <w:r w:rsidRPr="00077150">
        <w:rPr>
          <w:i/>
          <w:iCs/>
          <w:u w:val="none"/>
          <w:lang w:val="fr-CA"/>
        </w:rPr>
        <w:t>BS</w:t>
      </w:r>
      <w:r w:rsidR="00B03A83" w:rsidRPr="00077150">
        <w:rPr>
          <w:i/>
          <w:iCs/>
          <w:u w:val="none"/>
          <w:lang w:val="fr-CA"/>
        </w:rPr>
        <w:t>A</w:t>
      </w:r>
      <w:r w:rsidRPr="00077150">
        <w:rPr>
          <w:i/>
          <w:iCs/>
          <w:u w:val="none"/>
          <w:lang w:val="fr-CA"/>
        </w:rPr>
        <w:t xml:space="preserve">) : L’Accord </w:t>
      </w:r>
      <w:r w:rsidR="00D74870">
        <w:rPr>
          <w:i/>
          <w:iCs/>
          <w:u w:val="none"/>
          <w:lang w:val="fr-CA"/>
        </w:rPr>
        <w:t>Canada–États</w:t>
      </w:r>
      <w:r w:rsidR="00D74870">
        <w:rPr>
          <w:i/>
          <w:iCs/>
          <w:u w:val="none"/>
          <w:lang w:val="fr-CA"/>
        </w:rPr>
        <w:noBreakHyphen/>
        <w:t>Unis</w:t>
      </w:r>
      <w:r w:rsidRPr="00077150">
        <w:rPr>
          <w:i/>
          <w:iCs/>
          <w:u w:val="none"/>
          <w:lang w:val="fr-CA"/>
        </w:rPr>
        <w:t xml:space="preserve"> relatif à la qualité de l’eau dans les Grands Lacs de 2012 est géré selon des cycles de gestion de trois ans. Au début d’un cycle de trois ans, les gouvernements américain et canadien</w:t>
      </w:r>
      <w:r w:rsidR="007A10D2">
        <w:rPr>
          <w:i/>
          <w:iCs/>
          <w:u w:val="none"/>
          <w:lang w:val="fr-CA"/>
        </w:rPr>
        <w:t>,</w:t>
      </w:r>
      <w:r w:rsidRPr="00077150">
        <w:rPr>
          <w:i/>
          <w:iCs/>
          <w:u w:val="none"/>
          <w:lang w:val="fr-CA"/>
        </w:rPr>
        <w:t xml:space="preserve"> avec le Comité exécutif des Grands Lacs, </w:t>
      </w:r>
      <w:r w:rsidR="007A10D2">
        <w:rPr>
          <w:i/>
          <w:iCs/>
          <w:u w:val="none"/>
          <w:lang w:val="fr-CA"/>
        </w:rPr>
        <w:t xml:space="preserve">et </w:t>
      </w:r>
      <w:r w:rsidRPr="00077150">
        <w:rPr>
          <w:i/>
          <w:iCs/>
          <w:u w:val="none"/>
          <w:lang w:val="fr-CA"/>
        </w:rPr>
        <w:t>en tenant compte des commentaires du public,</w:t>
      </w:r>
      <w:r w:rsidR="007A10D2">
        <w:rPr>
          <w:i/>
          <w:iCs/>
          <w:u w:val="none"/>
          <w:lang w:val="fr-CA"/>
        </w:rPr>
        <w:t xml:space="preserve"> </w:t>
      </w:r>
      <w:r w:rsidR="00D74870">
        <w:rPr>
          <w:i/>
          <w:iCs/>
          <w:u w:val="none"/>
          <w:lang w:val="fr-CA"/>
        </w:rPr>
        <w:t>établissent</w:t>
      </w:r>
      <w:r w:rsidRPr="00077150">
        <w:rPr>
          <w:i/>
          <w:iCs/>
          <w:u w:val="none"/>
          <w:lang w:val="fr-CA"/>
        </w:rPr>
        <w:t xml:space="preserve"> officiellement les priorités binationales </w:t>
      </w:r>
      <w:r w:rsidR="007A10D2">
        <w:rPr>
          <w:i/>
          <w:iCs/>
          <w:u w:val="none"/>
          <w:lang w:val="fr-CA"/>
        </w:rPr>
        <w:t>quant aux activités scientifiques et aux actions</w:t>
      </w:r>
      <w:r w:rsidRPr="00077150">
        <w:rPr>
          <w:i/>
          <w:iCs/>
          <w:u w:val="none"/>
          <w:lang w:val="fr-CA"/>
        </w:rPr>
        <w:t xml:space="preserve"> pour contrer les menaces actuelles et futures à la qualité de l’eau des Grands Lacs. Les versions provisoires de ces priorités sont présentées aux forums publics sur les Grands Lacs et </w:t>
      </w:r>
      <w:r w:rsidR="007A10D2">
        <w:rPr>
          <w:i/>
          <w:iCs/>
          <w:u w:val="none"/>
          <w:lang w:val="fr-CA"/>
        </w:rPr>
        <w:t xml:space="preserve">la dernière main est mise </w:t>
      </w:r>
      <w:r w:rsidRPr="00077150">
        <w:rPr>
          <w:i/>
          <w:iCs/>
          <w:u w:val="none"/>
          <w:lang w:val="fr-CA"/>
        </w:rPr>
        <w:t xml:space="preserve">par les États-Unis et le Canada dans les six mois suivant la tenue du forum, après examen des commentaires reçus. </w:t>
      </w:r>
    </w:p>
    <w:p w14:paraId="6FFD31C8" w14:textId="77777777" w:rsidR="00AF545B" w:rsidRPr="00077150" w:rsidRDefault="00AF545B" w:rsidP="00AF545B">
      <w:pPr>
        <w:rPr>
          <w:u w:val="none"/>
          <w:lang w:val="fr-CA"/>
        </w:rPr>
      </w:pPr>
    </w:p>
    <w:p w14:paraId="5F6BAACF" w14:textId="4B9314FB" w:rsidR="00AF545B" w:rsidRPr="00077150" w:rsidRDefault="00AF545B" w:rsidP="00AF545B">
      <w:pPr>
        <w:rPr>
          <w:u w:val="none"/>
          <w:lang w:val="fr-CA"/>
        </w:rPr>
      </w:pPr>
      <w:r w:rsidRPr="00077150">
        <w:rPr>
          <w:u w:val="none"/>
          <w:lang w:val="fr-CA"/>
        </w:rPr>
        <w:t xml:space="preserve">Bien que plusieurs organisations aient récemment recommandé des modifications ou des ajouts à l’Accord dans leurs commentaires, les </w:t>
      </w:r>
      <w:r w:rsidR="007A10D2">
        <w:rPr>
          <w:u w:val="none"/>
          <w:lang w:val="fr-CA"/>
        </w:rPr>
        <w:t>P</w:t>
      </w:r>
      <w:r w:rsidRPr="00077150">
        <w:rPr>
          <w:u w:val="none"/>
          <w:lang w:val="fr-CA"/>
        </w:rPr>
        <w:t xml:space="preserve">arties considèrent l’examen de l’Accord comme une occasion d’améliorer le fonctionnement et la réalisation des engagements sans modifier ni renégocier l’Accord </w:t>
      </w:r>
      <w:r w:rsidR="007A10D2">
        <w:rPr>
          <w:u w:val="none"/>
          <w:lang w:val="fr-CA"/>
        </w:rPr>
        <w:t>en vigueur</w:t>
      </w:r>
      <w:r w:rsidRPr="00077150">
        <w:rPr>
          <w:u w:val="none"/>
          <w:lang w:val="fr-CA"/>
        </w:rPr>
        <w:t xml:space="preserve">. Les </w:t>
      </w:r>
      <w:r w:rsidR="007A10D2">
        <w:rPr>
          <w:u w:val="none"/>
          <w:lang w:val="fr-CA"/>
        </w:rPr>
        <w:t>P</w:t>
      </w:r>
      <w:r w:rsidRPr="00077150">
        <w:rPr>
          <w:u w:val="none"/>
          <w:lang w:val="fr-CA"/>
        </w:rPr>
        <w:t>arties ne sont pas tenues d’envisager de modifier l’Accord dans le contexte de l</w:t>
      </w:r>
      <w:r w:rsidR="007A10D2">
        <w:rPr>
          <w:u w:val="none"/>
          <w:lang w:val="fr-CA"/>
        </w:rPr>
        <w:t>’examen</w:t>
      </w:r>
      <w:r w:rsidRPr="00077150">
        <w:rPr>
          <w:u w:val="none"/>
          <w:lang w:val="fr-CA"/>
        </w:rPr>
        <w:t>, comme il est énoncé au paragraphe</w:t>
      </w:r>
      <w:r w:rsidR="007A10D2">
        <w:rPr>
          <w:u w:val="none"/>
          <w:lang w:val="fr-CA"/>
        </w:rPr>
        <w:t> </w:t>
      </w:r>
      <w:r w:rsidRPr="00077150">
        <w:rPr>
          <w:u w:val="none"/>
          <w:lang w:val="fr-CA"/>
        </w:rPr>
        <w:t>5 de l’article</w:t>
      </w:r>
      <w:r w:rsidR="007A10D2">
        <w:rPr>
          <w:u w:val="none"/>
          <w:lang w:val="fr-CA"/>
        </w:rPr>
        <w:t> </w:t>
      </w:r>
      <w:r w:rsidRPr="00077150">
        <w:rPr>
          <w:u w:val="none"/>
          <w:lang w:val="fr-CA"/>
        </w:rPr>
        <w:t>5.</w:t>
      </w:r>
    </w:p>
    <w:p w14:paraId="4084A96E" w14:textId="77777777" w:rsidR="00AF545B" w:rsidRPr="00077150" w:rsidRDefault="00AF545B" w:rsidP="00AF545B">
      <w:pPr>
        <w:rPr>
          <w:u w:val="none"/>
          <w:lang w:val="fr-CA"/>
        </w:rPr>
      </w:pPr>
    </w:p>
    <w:p w14:paraId="588E2F66" w14:textId="7E6A96B5" w:rsidR="00F14920" w:rsidRPr="00077150" w:rsidRDefault="00AF545B" w:rsidP="00AF545B">
      <w:pPr>
        <w:rPr>
          <w:u w:val="none"/>
          <w:lang w:val="fr-CA"/>
        </w:rPr>
      </w:pPr>
      <w:r w:rsidRPr="00077150">
        <w:rPr>
          <w:u w:val="none"/>
          <w:lang w:val="fr-CA"/>
        </w:rPr>
        <w:t xml:space="preserve">L’un des principaux objectifs de l’examen est d’améliorer le fonctionnement et l’efficacité de l’Accord </w:t>
      </w:r>
      <w:r w:rsidR="007A10D2">
        <w:rPr>
          <w:u w:val="none"/>
          <w:lang w:val="fr-CA"/>
        </w:rPr>
        <w:t>en vigueur</w:t>
      </w:r>
      <w:r w:rsidRPr="00077150">
        <w:rPr>
          <w:u w:val="none"/>
          <w:lang w:val="fr-CA"/>
        </w:rPr>
        <w:t xml:space="preserve">. L’examen sera axé sur la rapidité et </w:t>
      </w:r>
      <w:r w:rsidR="007A10D2">
        <w:rPr>
          <w:u w:val="none"/>
          <w:lang w:val="fr-CA"/>
        </w:rPr>
        <w:t>l’exhaustivité de</w:t>
      </w:r>
      <w:r w:rsidRPr="00077150">
        <w:rPr>
          <w:u w:val="none"/>
          <w:lang w:val="fr-CA"/>
        </w:rPr>
        <w:t xml:space="preserve"> l</w:t>
      </w:r>
      <w:r w:rsidR="007A10D2">
        <w:rPr>
          <w:u w:val="none"/>
          <w:lang w:val="fr-CA"/>
        </w:rPr>
        <w:t xml:space="preserve">a réalisation </w:t>
      </w:r>
      <w:r w:rsidRPr="00077150">
        <w:rPr>
          <w:u w:val="none"/>
          <w:lang w:val="fr-CA"/>
        </w:rPr>
        <w:t xml:space="preserve">des priorités binationales antérieures </w:t>
      </w:r>
      <w:r w:rsidR="007A10D2">
        <w:rPr>
          <w:u w:val="none"/>
          <w:lang w:val="fr-CA"/>
        </w:rPr>
        <w:t>quant aux activités scientifiques et aux actions</w:t>
      </w:r>
      <w:r w:rsidRPr="00077150">
        <w:rPr>
          <w:u w:val="none"/>
          <w:lang w:val="fr-CA"/>
        </w:rPr>
        <w:t xml:space="preserve">. Cette analyse vise à </w:t>
      </w:r>
      <w:r w:rsidR="007A10D2">
        <w:rPr>
          <w:u w:val="none"/>
          <w:lang w:val="fr-CA"/>
        </w:rPr>
        <w:t>étayer</w:t>
      </w:r>
      <w:r w:rsidRPr="00077150">
        <w:rPr>
          <w:u w:val="none"/>
          <w:lang w:val="fr-CA"/>
        </w:rPr>
        <w:t xml:space="preserve"> les améliorations futures </w:t>
      </w:r>
      <w:r w:rsidR="00A32E97">
        <w:rPr>
          <w:u w:val="none"/>
          <w:lang w:val="fr-CA"/>
        </w:rPr>
        <w:t>aux</w:t>
      </w:r>
      <w:r w:rsidRPr="00077150">
        <w:rPr>
          <w:u w:val="none"/>
          <w:lang w:val="fr-CA"/>
        </w:rPr>
        <w:t xml:space="preserve"> travaux prévus dans les annexes et articles</w:t>
      </w:r>
      <w:r w:rsidR="00A32E97">
        <w:rPr>
          <w:u w:val="none"/>
          <w:lang w:val="fr-CA"/>
        </w:rPr>
        <w:t>,</w:t>
      </w:r>
      <w:r w:rsidRPr="00077150">
        <w:rPr>
          <w:u w:val="none"/>
          <w:lang w:val="fr-CA"/>
        </w:rPr>
        <w:t xml:space="preserve"> et à éclairer l’élaboration du prochain ensemble de priorités binationales </w:t>
      </w:r>
      <w:r w:rsidR="007A10D2">
        <w:rPr>
          <w:u w:val="none"/>
          <w:lang w:val="fr-CA"/>
        </w:rPr>
        <w:t>quant aux activités scientifiques et aux actions</w:t>
      </w:r>
      <w:r w:rsidRPr="00077150">
        <w:rPr>
          <w:u w:val="none"/>
          <w:lang w:val="fr-CA"/>
        </w:rPr>
        <w:t>.</w:t>
      </w:r>
    </w:p>
    <w:sectPr w:rsidR="00F14920" w:rsidRPr="000771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15DA" w14:textId="77777777" w:rsidR="00E62973" w:rsidRDefault="00E62973" w:rsidP="00D74870">
      <w:r>
        <w:separator/>
      </w:r>
    </w:p>
  </w:endnote>
  <w:endnote w:type="continuationSeparator" w:id="0">
    <w:p w14:paraId="3C1117FB" w14:textId="77777777" w:rsidR="00E62973" w:rsidRDefault="00E62973" w:rsidP="00D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00EF" w14:textId="77777777" w:rsidR="00D74870" w:rsidRDefault="00D748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50A" w14:textId="77777777" w:rsidR="00D74870" w:rsidRDefault="00D7487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D482" w14:textId="77777777" w:rsidR="00D74870" w:rsidRDefault="00D748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1C7B" w14:textId="77777777" w:rsidR="00E62973" w:rsidRDefault="00E62973" w:rsidP="00D74870">
      <w:r>
        <w:separator/>
      </w:r>
    </w:p>
  </w:footnote>
  <w:footnote w:type="continuationSeparator" w:id="0">
    <w:p w14:paraId="00CCB23F" w14:textId="77777777" w:rsidR="00E62973" w:rsidRDefault="00E62973" w:rsidP="00D7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0322" w14:textId="77777777" w:rsidR="00D74870" w:rsidRDefault="00D748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B914" w14:textId="77777777" w:rsidR="00D74870" w:rsidRDefault="00D748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9CE" w14:textId="77777777" w:rsidR="00D74870" w:rsidRDefault="00D748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E10E3"/>
    <w:multiLevelType w:val="hybridMultilevel"/>
    <w:tmpl w:val="EAFA09B4"/>
    <w:lvl w:ilvl="0" w:tplc="17B26584">
      <w:start w:val="1"/>
      <w:numFmt w:val="bullet"/>
      <w:lvlText w:val=""/>
      <w:lvlJc w:val="left"/>
      <w:pPr>
        <w:ind w:left="1080" w:hanging="360"/>
      </w:pPr>
      <w:rPr>
        <w:rFonts w:ascii="Symbol" w:hAnsi="Symbol" w:hint="default"/>
      </w:rPr>
    </w:lvl>
    <w:lvl w:ilvl="1" w:tplc="FFEA4E32">
      <w:start w:val="1"/>
      <w:numFmt w:val="bullet"/>
      <w:lvlText w:val="o"/>
      <w:lvlJc w:val="left"/>
      <w:pPr>
        <w:ind w:left="1800" w:hanging="360"/>
      </w:pPr>
      <w:rPr>
        <w:rFonts w:ascii="Courier New" w:hAnsi="Courier New" w:cs="Times New Roman" w:hint="default"/>
      </w:rPr>
    </w:lvl>
    <w:lvl w:ilvl="2" w:tplc="48648998">
      <w:start w:val="1"/>
      <w:numFmt w:val="bullet"/>
      <w:lvlText w:val=""/>
      <w:lvlJc w:val="left"/>
      <w:pPr>
        <w:ind w:left="2520" w:hanging="360"/>
      </w:pPr>
      <w:rPr>
        <w:rFonts w:ascii="Wingdings" w:hAnsi="Wingdings" w:hint="default"/>
      </w:rPr>
    </w:lvl>
    <w:lvl w:ilvl="3" w:tplc="3090814E">
      <w:start w:val="1"/>
      <w:numFmt w:val="bullet"/>
      <w:lvlText w:val=""/>
      <w:lvlJc w:val="left"/>
      <w:pPr>
        <w:ind w:left="3240" w:hanging="360"/>
      </w:pPr>
      <w:rPr>
        <w:rFonts w:ascii="Symbol" w:hAnsi="Symbol" w:hint="default"/>
      </w:rPr>
    </w:lvl>
    <w:lvl w:ilvl="4" w:tplc="233276F0">
      <w:start w:val="1"/>
      <w:numFmt w:val="bullet"/>
      <w:lvlText w:val="o"/>
      <w:lvlJc w:val="left"/>
      <w:pPr>
        <w:ind w:left="3960" w:hanging="360"/>
      </w:pPr>
      <w:rPr>
        <w:rFonts w:ascii="Courier New" w:hAnsi="Courier New" w:cs="Times New Roman" w:hint="default"/>
      </w:rPr>
    </w:lvl>
    <w:lvl w:ilvl="5" w:tplc="70FCE806">
      <w:start w:val="1"/>
      <w:numFmt w:val="bullet"/>
      <w:lvlText w:val=""/>
      <w:lvlJc w:val="left"/>
      <w:pPr>
        <w:ind w:left="4680" w:hanging="360"/>
      </w:pPr>
      <w:rPr>
        <w:rFonts w:ascii="Wingdings" w:hAnsi="Wingdings" w:hint="default"/>
      </w:rPr>
    </w:lvl>
    <w:lvl w:ilvl="6" w:tplc="BEB23DB6">
      <w:start w:val="1"/>
      <w:numFmt w:val="bullet"/>
      <w:lvlText w:val=""/>
      <w:lvlJc w:val="left"/>
      <w:pPr>
        <w:ind w:left="5400" w:hanging="360"/>
      </w:pPr>
      <w:rPr>
        <w:rFonts w:ascii="Symbol" w:hAnsi="Symbol" w:hint="default"/>
      </w:rPr>
    </w:lvl>
    <w:lvl w:ilvl="7" w:tplc="DF66D33C">
      <w:start w:val="1"/>
      <w:numFmt w:val="bullet"/>
      <w:lvlText w:val="o"/>
      <w:lvlJc w:val="left"/>
      <w:pPr>
        <w:ind w:left="6120" w:hanging="360"/>
      </w:pPr>
      <w:rPr>
        <w:rFonts w:ascii="Courier New" w:hAnsi="Courier New" w:cs="Times New Roman" w:hint="default"/>
      </w:rPr>
    </w:lvl>
    <w:lvl w:ilvl="8" w:tplc="485A292A">
      <w:start w:val="1"/>
      <w:numFmt w:val="bullet"/>
      <w:lvlText w:val=""/>
      <w:lvlJc w:val="left"/>
      <w:pPr>
        <w:ind w:left="6840" w:hanging="360"/>
      </w:pPr>
      <w:rPr>
        <w:rFonts w:ascii="Wingdings" w:hAnsi="Wingdings" w:hint="default"/>
      </w:rPr>
    </w:lvl>
  </w:abstractNum>
  <w:num w:numId="1" w16cid:durableId="155781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C0"/>
    <w:rsid w:val="00077150"/>
    <w:rsid w:val="0008226B"/>
    <w:rsid w:val="000A4807"/>
    <w:rsid w:val="00763F8B"/>
    <w:rsid w:val="007A10D2"/>
    <w:rsid w:val="00A32E97"/>
    <w:rsid w:val="00AF545B"/>
    <w:rsid w:val="00B03A83"/>
    <w:rsid w:val="00BC33C0"/>
    <w:rsid w:val="00D74870"/>
    <w:rsid w:val="00E32C6C"/>
    <w:rsid w:val="00E62973"/>
    <w:rsid w:val="00ED087A"/>
    <w:rsid w:val="00F14920"/>
    <w:rsid w:val="00FD63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B681"/>
  <w15:chartTrackingRefBased/>
  <w15:docId w15:val="{DD59E706-7FC1-40E6-BAFF-8CF59AF4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bCs/>
        <w:kern w:val="2"/>
        <w:sz w:val="22"/>
        <w:szCs w:val="22"/>
        <w:u w:val="single"/>
        <w:lang w:val="fr" w:eastAsia="fr" w:bidi="fr"/>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Titre1">
    <w:name w:val="heading 1"/>
    <w:basedOn w:val="Normal"/>
    <w:next w:val="Normal"/>
    <w:link w:val="Titre1Car"/>
    <w:uiPriority w:val="9"/>
    <w:qFormat/>
    <w:rsid w:val="00BC3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3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33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33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C33C0"/>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C33C0"/>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C33C0"/>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C33C0"/>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C33C0"/>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3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33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33C0"/>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C33C0"/>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C33C0"/>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C33C0"/>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C33C0"/>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C33C0"/>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C33C0"/>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C33C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33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33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33C0"/>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C33C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C33C0"/>
    <w:rPr>
      <w:i/>
      <w:iCs/>
      <w:color w:val="404040" w:themeColor="text1" w:themeTint="BF"/>
    </w:rPr>
  </w:style>
  <w:style w:type="paragraph" w:styleId="Paragraphedeliste">
    <w:name w:val="List Paragraph"/>
    <w:basedOn w:val="Normal"/>
    <w:uiPriority w:val="34"/>
    <w:qFormat/>
    <w:rsid w:val="00BC33C0"/>
    <w:pPr>
      <w:ind w:left="720"/>
      <w:contextualSpacing/>
    </w:pPr>
  </w:style>
  <w:style w:type="character" w:styleId="Accentuationintense">
    <w:name w:val="Intense Emphasis"/>
    <w:basedOn w:val="Policepardfaut"/>
    <w:uiPriority w:val="21"/>
    <w:qFormat/>
    <w:rsid w:val="00BC33C0"/>
    <w:rPr>
      <w:i/>
      <w:iCs/>
      <w:color w:val="0F4761" w:themeColor="accent1" w:themeShade="BF"/>
    </w:rPr>
  </w:style>
  <w:style w:type="paragraph" w:styleId="Citationintense">
    <w:name w:val="Intense Quote"/>
    <w:basedOn w:val="Normal"/>
    <w:next w:val="Normal"/>
    <w:link w:val="CitationintenseCar"/>
    <w:uiPriority w:val="30"/>
    <w:qFormat/>
    <w:rsid w:val="00BC3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33C0"/>
    <w:rPr>
      <w:i/>
      <w:iCs/>
      <w:color w:val="0F4761" w:themeColor="accent1" w:themeShade="BF"/>
    </w:rPr>
  </w:style>
  <w:style w:type="character" w:styleId="Rfrenceintense">
    <w:name w:val="Intense Reference"/>
    <w:basedOn w:val="Policepardfaut"/>
    <w:uiPriority w:val="32"/>
    <w:qFormat/>
    <w:rsid w:val="00BC33C0"/>
    <w:rPr>
      <w:b/>
      <w:bCs w:val="0"/>
      <w:smallCaps/>
      <w:color w:val="0F4761" w:themeColor="accent1" w:themeShade="BF"/>
      <w:spacing w:val="5"/>
    </w:rPr>
  </w:style>
  <w:style w:type="paragraph" w:styleId="En-tte">
    <w:name w:val="header"/>
    <w:basedOn w:val="Normal"/>
    <w:link w:val="En-tteCar"/>
    <w:uiPriority w:val="99"/>
    <w:unhideWhenUsed/>
    <w:rsid w:val="00D74870"/>
    <w:pPr>
      <w:tabs>
        <w:tab w:val="center" w:pos="4320"/>
        <w:tab w:val="right" w:pos="8640"/>
      </w:tabs>
    </w:pPr>
  </w:style>
  <w:style w:type="character" w:customStyle="1" w:styleId="En-tteCar">
    <w:name w:val="En-tête Car"/>
    <w:basedOn w:val="Policepardfaut"/>
    <w:link w:val="En-tte"/>
    <w:uiPriority w:val="99"/>
    <w:rsid w:val="00D74870"/>
    <w:rPr>
      <w:rFonts w:cs="Times New Roman"/>
      <w:lang w:bidi="ar-SA"/>
    </w:rPr>
  </w:style>
  <w:style w:type="paragraph" w:styleId="Pieddepage">
    <w:name w:val="footer"/>
    <w:basedOn w:val="Normal"/>
    <w:link w:val="PieddepageCar"/>
    <w:uiPriority w:val="99"/>
    <w:unhideWhenUsed/>
    <w:rsid w:val="00D74870"/>
    <w:pPr>
      <w:tabs>
        <w:tab w:val="center" w:pos="4320"/>
        <w:tab w:val="right" w:pos="8640"/>
      </w:tabs>
    </w:pPr>
  </w:style>
  <w:style w:type="character" w:customStyle="1" w:styleId="PieddepageCar">
    <w:name w:val="Pied de page Car"/>
    <w:basedOn w:val="Policepardfaut"/>
    <w:link w:val="Pieddepage"/>
    <w:uiPriority w:val="99"/>
    <w:rsid w:val="00D74870"/>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20662">
      <w:bodyDiv w:val="1"/>
      <w:marLeft w:val="0"/>
      <w:marRight w:val="0"/>
      <w:marTop w:val="0"/>
      <w:marBottom w:val="0"/>
      <w:divBdr>
        <w:top w:val="none" w:sz="0" w:space="0" w:color="auto"/>
        <w:left w:val="none" w:sz="0" w:space="0" w:color="auto"/>
        <w:bottom w:val="none" w:sz="0" w:space="0" w:color="auto"/>
        <w:right w:val="none" w:sz="0" w:space="0" w:color="auto"/>
      </w:divBdr>
    </w:div>
    <w:div w:id="1453329451">
      <w:bodyDiv w:val="1"/>
      <w:marLeft w:val="0"/>
      <w:marRight w:val="0"/>
      <w:marTop w:val="0"/>
      <w:marBottom w:val="0"/>
      <w:divBdr>
        <w:top w:val="none" w:sz="0" w:space="0" w:color="auto"/>
        <w:left w:val="none" w:sz="0" w:space="0" w:color="auto"/>
        <w:bottom w:val="none" w:sz="0" w:space="0" w:color="auto"/>
        <w:right w:val="none" w:sz="0" w:space="0" w:color="auto"/>
      </w:divBdr>
    </w:div>
    <w:div w:id="15314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857</Words>
  <Characters>4715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Environment and Climate Change Canada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Kumar,Ashij (il | he, him) (ECCC)</dc:creator>
  <cp:keywords/>
  <dc:description/>
  <cp:lastModifiedBy>Sarrazin, Julie (SPAC/PSPC) (elle-la / she-her)</cp:lastModifiedBy>
  <cp:revision>5</cp:revision>
  <dcterms:created xsi:type="dcterms:W3CDTF">2024-09-26T18:56:00Z</dcterms:created>
  <dcterms:modified xsi:type="dcterms:W3CDTF">2024-09-26T20:39:00Z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2024-09-26T18:54:22Z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2b6982a7-1375-40e5-b69b-1e3f92dcb598</vt:lpwstr>
  </property>
  <property fmtid="{D5CDD505-2E9C-101B-9397-08002B2CF9AE}" pid="8" name="MSIP_Label_834ed4f5-eae4-40c7-82be-b1cdf720a1b9_ContentBits">
    <vt:lpwstr>0</vt:lpwstr>
  </property>
</Properties>
</file>